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sz w:val="44"/>
          <w:szCs w:val="44"/>
        </w:rPr>
      </w:pPr>
    </w:p>
    <w:p>
      <w:pPr>
        <w:spacing w:line="540" w:lineRule="exact"/>
        <w:jc w:val="center"/>
        <w:rPr>
          <w:sz w:val="44"/>
          <w:szCs w:val="44"/>
        </w:rPr>
      </w:pPr>
    </w:p>
    <w:p>
      <w:pPr>
        <w:spacing w:line="360" w:lineRule="auto"/>
        <w:jc w:val="center"/>
        <w:rPr>
          <w:b/>
          <w:sz w:val="44"/>
          <w:szCs w:val="44"/>
        </w:rPr>
      </w:pPr>
      <w:r>
        <w:rPr>
          <w:b/>
          <w:sz w:val="44"/>
          <w:szCs w:val="44"/>
        </w:rPr>
        <w:t>中山大学信息管理学院202</w:t>
      </w:r>
      <w:r>
        <w:rPr>
          <w:rFonts w:hint="eastAsia"/>
          <w:b/>
          <w:sz w:val="44"/>
          <w:szCs w:val="44"/>
        </w:rPr>
        <w:t>4</w:t>
      </w:r>
      <w:r>
        <w:rPr>
          <w:b/>
          <w:sz w:val="44"/>
          <w:szCs w:val="44"/>
        </w:rPr>
        <w:t>年硕士研究生</w:t>
      </w:r>
    </w:p>
    <w:p>
      <w:pPr>
        <w:spacing w:line="360" w:lineRule="auto"/>
        <w:jc w:val="center"/>
        <w:rPr>
          <w:b/>
          <w:sz w:val="44"/>
          <w:szCs w:val="44"/>
        </w:rPr>
      </w:pPr>
      <w:r>
        <w:rPr>
          <w:b/>
          <w:sz w:val="44"/>
          <w:szCs w:val="44"/>
        </w:rPr>
        <w:t>复试安排</w:t>
      </w:r>
    </w:p>
    <w:p>
      <w:pPr>
        <w:spacing w:line="540" w:lineRule="exact"/>
        <w:jc w:val="center"/>
        <w:rPr>
          <w:sz w:val="44"/>
          <w:szCs w:val="44"/>
        </w:rPr>
      </w:pPr>
    </w:p>
    <w:p>
      <w:pPr>
        <w:spacing w:line="540" w:lineRule="exact"/>
        <w:rPr>
          <w:rFonts w:ascii="仿宋" w:hAnsi="仿宋" w:eastAsia="仿宋" w:cs="仿宋"/>
          <w:b/>
          <w:bCs/>
          <w:sz w:val="32"/>
          <w:szCs w:val="32"/>
        </w:rPr>
      </w:pPr>
      <w:r>
        <w:rPr>
          <w:rFonts w:hint="eastAsia" w:ascii="仿宋" w:hAnsi="仿宋" w:eastAsia="仿宋" w:cs="仿宋"/>
          <w:b/>
          <w:bCs/>
          <w:sz w:val="32"/>
          <w:szCs w:val="32"/>
        </w:rPr>
        <w:t xml:space="preserve">一、报到与资格审查 </w:t>
      </w:r>
    </w:p>
    <w:p>
      <w:pPr>
        <w:spacing w:line="540" w:lineRule="exact"/>
        <w:rPr>
          <w:rFonts w:ascii="仿宋" w:hAnsi="仿宋" w:eastAsia="仿宋" w:cs="仿宋"/>
          <w:sz w:val="32"/>
          <w:szCs w:val="32"/>
        </w:rPr>
      </w:pPr>
      <w:r>
        <w:rPr>
          <w:rFonts w:hint="eastAsia" w:ascii="仿宋" w:hAnsi="仿宋" w:eastAsia="仿宋" w:cs="仿宋"/>
          <w:sz w:val="32"/>
          <w:szCs w:val="32"/>
        </w:rPr>
        <w:t>1、报到</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时间：</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sz w:val="32"/>
          <w:szCs w:val="32"/>
          <w:highlight w:val="none"/>
        </w:rPr>
        <w:t>3月</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日</w:t>
      </w:r>
      <w:r>
        <w:rPr>
          <w:rFonts w:hint="eastAsia" w:ascii="仿宋" w:hAnsi="仿宋" w:eastAsia="仿宋" w:cs="仿宋"/>
          <w:sz w:val="32"/>
          <w:szCs w:val="32"/>
        </w:rPr>
        <w:t>下午2:</w:t>
      </w:r>
      <w:r>
        <w:rPr>
          <w:rFonts w:hint="eastAsia" w:ascii="仿宋" w:hAnsi="仿宋" w:eastAsia="仿宋" w:cs="仿宋"/>
          <w:sz w:val="32"/>
          <w:szCs w:val="32"/>
          <w:lang w:val="en-US" w:eastAsia="zh-CN"/>
        </w:rPr>
        <w:t>0</w:t>
      </w:r>
      <w:r>
        <w:rPr>
          <w:rFonts w:hint="eastAsia" w:ascii="仿宋" w:hAnsi="仿宋" w:eastAsia="仿宋" w:cs="仿宋"/>
          <w:sz w:val="32"/>
          <w:szCs w:val="32"/>
        </w:rPr>
        <w:t>0-</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0</w:t>
      </w:r>
      <w:r>
        <w:rPr>
          <w:rFonts w:hint="eastAsia" w:ascii="仿宋" w:hAnsi="仿宋" w:eastAsia="仿宋" w:cs="仿宋"/>
          <w:sz w:val="32"/>
          <w:szCs w:val="32"/>
        </w:rPr>
        <w:t>0</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地点：中山大学广州校区东校园信息管理学院</w:t>
      </w:r>
      <w:r>
        <w:rPr>
          <w:rFonts w:hint="eastAsia" w:ascii="仿宋" w:hAnsi="仿宋" w:eastAsia="仿宋" w:cs="仿宋"/>
          <w:sz w:val="32"/>
          <w:szCs w:val="32"/>
          <w:lang w:val="en-US" w:eastAsia="zh-CN"/>
        </w:rPr>
        <w:t>B102</w:t>
      </w:r>
      <w:r>
        <w:rPr>
          <w:rFonts w:hint="eastAsia" w:ascii="仿宋" w:hAnsi="仿宋" w:eastAsia="仿宋" w:cs="仿宋"/>
          <w:sz w:val="32"/>
          <w:szCs w:val="32"/>
        </w:rPr>
        <w:t>室</w:t>
      </w:r>
    </w:p>
    <w:p>
      <w:pPr>
        <w:numPr>
          <w:ilvl w:val="0"/>
          <w:numId w:val="1"/>
        </w:numPr>
        <w:spacing w:line="540" w:lineRule="exact"/>
        <w:rPr>
          <w:rFonts w:ascii="仿宋" w:hAnsi="仿宋" w:eastAsia="仿宋" w:cs="仿宋"/>
          <w:sz w:val="32"/>
          <w:szCs w:val="32"/>
        </w:rPr>
      </w:pPr>
      <w:r>
        <w:rPr>
          <w:rFonts w:hint="eastAsia" w:ascii="仿宋" w:hAnsi="仿宋" w:eastAsia="仿宋" w:cs="仿宋"/>
          <w:sz w:val="32"/>
          <w:szCs w:val="32"/>
        </w:rPr>
        <w:t>资格审查</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请提供以下材料：</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1.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2.初试准考证。</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3.学籍学历证明（往届考生须提交《教育部学历证书电子注册备案表》，应届生须提交《教育部学籍在线验证报告》办理方式详见中国高等教育学生信息网http://www.chsi.com.cn/xlcx/bgys.jsp）。</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4.本科阶段学习成绩单原件或复印件（原件应加盖学校教务管理部门公章，复印件须有“原件复印”并加盖原件存档单位公章）。</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5.应届生提供学生证。</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6.往届毕业生提供毕业证书、学位证书。（毕业证书丢失的提供“中国高等教育学生信息网”的《教育部学历证书电子注册备案表》或《中国高等教育学历认证报告》）。</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7.凡于境外获得的文凭须提交教育部留学服务中心出具的认证报告。</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8.在读研究生需提供培养单位出具的同意报考证明和提交入学前完成原学校退学手续的承诺书。</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9.网上报名出现学籍学历错误信息的考生还须提供资料：往届生的《教育部学历证书电子注册备案表》、应届生的《教育部学籍在线验证报告》，或有效的学籍、学历验证书面报告。</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10.我院根据复试要求，加强对考生既往学业、一贯表现、科研能力、综合素质、思想政治素质和品德考核等情况的全面考察，请考生提供科研成果或相关论文、竞赛获奖、社会服务等相关补充材料，作为综合素质考核的评分依据。</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以上材料，均需提供原件和复印件。不符合报考条件者将被取消复试资格。资格审查复印件材料恕不退回。资格审查未通过的考生将取消复试资格。</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sz w:val="32"/>
          <w:szCs w:val="32"/>
        </w:rPr>
        <w:t>已通过图书情报硕士（非全日制）提前面试进入复试名单的考生不须重复提交资格审查材料，直接参加我校组织的《思想政治理论》笔试，具体考试安排请见学院官网公告。</w:t>
      </w:r>
    </w:p>
    <w:p>
      <w:pPr>
        <w:numPr>
          <w:ilvl w:val="0"/>
          <w:numId w:val="2"/>
        </w:numPr>
        <w:spacing w:line="540" w:lineRule="exact"/>
        <w:rPr>
          <w:rFonts w:ascii="仿宋" w:hAnsi="仿宋" w:eastAsia="仿宋" w:cs="仿宋"/>
          <w:b/>
          <w:bCs/>
          <w:sz w:val="32"/>
          <w:szCs w:val="32"/>
        </w:rPr>
      </w:pPr>
      <w:r>
        <w:rPr>
          <w:rFonts w:hint="eastAsia" w:ascii="仿宋" w:hAnsi="仿宋" w:eastAsia="仿宋" w:cs="仿宋"/>
          <w:b/>
          <w:bCs/>
          <w:sz w:val="32"/>
          <w:szCs w:val="32"/>
        </w:rPr>
        <w:t>复试</w:t>
      </w:r>
    </w:p>
    <w:p>
      <w:pPr>
        <w:spacing w:line="540" w:lineRule="exact"/>
        <w:rPr>
          <w:rFonts w:ascii="仿宋" w:hAnsi="仿宋" w:eastAsia="仿宋" w:cs="仿宋"/>
          <w:sz w:val="32"/>
          <w:szCs w:val="32"/>
        </w:rPr>
      </w:pPr>
      <w:r>
        <w:rPr>
          <w:rFonts w:hint="eastAsia" w:ascii="仿宋" w:hAnsi="仿宋" w:eastAsia="仿宋" w:cs="仿宋"/>
          <w:sz w:val="32"/>
          <w:szCs w:val="32"/>
        </w:rPr>
        <w:t>1.复试方式</w:t>
      </w:r>
    </w:p>
    <w:p>
      <w:pPr>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现场面试。其中</w:t>
      </w:r>
      <w:r>
        <w:rPr>
          <w:rFonts w:hint="eastAsia" w:ascii="仿宋" w:hAnsi="仿宋" w:eastAsia="仿宋" w:cs="仿宋"/>
          <w:color w:val="000000" w:themeColor="text1"/>
          <w:sz w:val="32"/>
          <w:szCs w:val="32"/>
          <w14:textFill>
            <w14:solidFill>
              <w14:schemeClr w14:val="tx1"/>
            </w14:solidFill>
          </w14:textFill>
        </w:rPr>
        <w:t>专业学位硕士考生还需参加《思想政治理论》笔试。</w:t>
      </w:r>
    </w:p>
    <w:p>
      <w:pPr>
        <w:spacing w:line="54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2.复试内容及安排</w:t>
      </w:r>
    </w:p>
    <w:p>
      <w:pPr>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专业课、外语应用能力测试、专业能力及综合素质考核于同一面试过程中完成，具体安排如下：</w:t>
      </w:r>
    </w:p>
    <w:p>
      <w:pPr>
        <w:spacing w:line="540" w:lineRule="exact"/>
        <w:rPr>
          <w:rFonts w:ascii="仿宋" w:hAnsi="仿宋" w:eastAsia="仿宋" w:cs="仿宋"/>
          <w:b/>
          <w:bCs/>
          <w:sz w:val="28"/>
          <w:szCs w:val="28"/>
        </w:rPr>
      </w:pPr>
    </w:p>
    <w:tbl>
      <w:tblPr>
        <w:tblStyle w:val="9"/>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901"/>
        <w:gridCol w:w="1334"/>
        <w:gridCol w:w="967"/>
        <w:gridCol w:w="1769"/>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6" w:type="dxa"/>
            <w:vAlign w:val="center"/>
          </w:tcPr>
          <w:p>
            <w:pPr>
              <w:snapToGrid w:val="0"/>
              <w:jc w:val="center"/>
              <w:rPr>
                <w:rFonts w:ascii="仿宋" w:hAnsi="仿宋" w:eastAsia="仿宋" w:cs="仿宋"/>
                <w:b/>
                <w:bCs/>
                <w:sz w:val="24"/>
              </w:rPr>
            </w:pPr>
            <w:r>
              <w:rPr>
                <w:rFonts w:hint="eastAsia" w:ascii="仿宋" w:hAnsi="仿宋" w:eastAsia="仿宋" w:cs="仿宋"/>
                <w:b/>
                <w:bCs/>
                <w:sz w:val="24"/>
              </w:rPr>
              <w:t>专业</w:t>
            </w:r>
          </w:p>
          <w:p>
            <w:pPr>
              <w:snapToGrid w:val="0"/>
              <w:jc w:val="center"/>
              <w:rPr>
                <w:rFonts w:ascii="仿宋" w:hAnsi="仿宋" w:eastAsia="仿宋" w:cs="仿宋"/>
                <w:b/>
                <w:bCs/>
                <w:sz w:val="24"/>
              </w:rPr>
            </w:pPr>
            <w:r>
              <w:rPr>
                <w:rFonts w:hint="eastAsia" w:ascii="仿宋" w:hAnsi="仿宋" w:eastAsia="仿宋" w:cs="仿宋"/>
                <w:sz w:val="24"/>
              </w:rPr>
              <w:t>（代码）</w:t>
            </w:r>
          </w:p>
        </w:tc>
        <w:tc>
          <w:tcPr>
            <w:tcW w:w="1901" w:type="dxa"/>
            <w:vAlign w:val="center"/>
          </w:tcPr>
          <w:p>
            <w:pPr>
              <w:snapToGrid w:val="0"/>
              <w:jc w:val="center"/>
              <w:rPr>
                <w:rFonts w:ascii="仿宋" w:hAnsi="仿宋" w:eastAsia="仿宋" w:cs="仿宋"/>
                <w:b/>
                <w:bCs/>
                <w:sz w:val="24"/>
              </w:rPr>
            </w:pPr>
            <w:r>
              <w:rPr>
                <w:rFonts w:hint="eastAsia" w:ascii="仿宋" w:hAnsi="仿宋" w:eastAsia="仿宋" w:cs="仿宋"/>
                <w:b/>
                <w:bCs/>
                <w:sz w:val="24"/>
              </w:rPr>
              <w:t>内容</w:t>
            </w:r>
          </w:p>
        </w:tc>
        <w:tc>
          <w:tcPr>
            <w:tcW w:w="1334" w:type="dxa"/>
            <w:vAlign w:val="center"/>
          </w:tcPr>
          <w:p>
            <w:pPr>
              <w:snapToGrid w:val="0"/>
              <w:jc w:val="center"/>
              <w:rPr>
                <w:rFonts w:ascii="仿宋" w:hAnsi="仿宋" w:eastAsia="仿宋" w:cs="仿宋"/>
                <w:b/>
                <w:bCs/>
                <w:sz w:val="24"/>
              </w:rPr>
            </w:pPr>
            <w:r>
              <w:rPr>
                <w:rFonts w:hint="eastAsia" w:ascii="仿宋" w:hAnsi="仿宋" w:eastAsia="仿宋" w:cs="仿宋"/>
                <w:b/>
                <w:bCs/>
                <w:sz w:val="24"/>
              </w:rPr>
              <w:t>占复试</w:t>
            </w:r>
          </w:p>
          <w:p>
            <w:pPr>
              <w:snapToGrid w:val="0"/>
              <w:jc w:val="center"/>
              <w:rPr>
                <w:rFonts w:ascii="仿宋" w:hAnsi="仿宋" w:eastAsia="仿宋" w:cs="仿宋"/>
                <w:b/>
                <w:bCs/>
                <w:sz w:val="24"/>
              </w:rPr>
            </w:pPr>
            <w:r>
              <w:rPr>
                <w:rFonts w:hint="eastAsia" w:ascii="仿宋" w:hAnsi="仿宋" w:eastAsia="仿宋" w:cs="仿宋"/>
                <w:b/>
                <w:bCs/>
                <w:sz w:val="24"/>
              </w:rPr>
              <w:t>成绩比例</w:t>
            </w:r>
          </w:p>
        </w:tc>
        <w:tc>
          <w:tcPr>
            <w:tcW w:w="967" w:type="dxa"/>
            <w:vAlign w:val="center"/>
          </w:tcPr>
          <w:p>
            <w:pPr>
              <w:snapToGrid w:val="0"/>
              <w:jc w:val="center"/>
              <w:rPr>
                <w:rFonts w:ascii="仿宋" w:hAnsi="仿宋" w:eastAsia="仿宋" w:cs="仿宋"/>
                <w:b/>
                <w:bCs/>
                <w:sz w:val="24"/>
              </w:rPr>
            </w:pPr>
            <w:r>
              <w:rPr>
                <w:rFonts w:hint="eastAsia" w:ascii="仿宋" w:hAnsi="仿宋" w:eastAsia="仿宋" w:cs="仿宋"/>
                <w:b/>
                <w:bCs/>
                <w:sz w:val="24"/>
              </w:rPr>
              <w:t>考核</w:t>
            </w:r>
          </w:p>
          <w:p>
            <w:pPr>
              <w:snapToGrid w:val="0"/>
              <w:jc w:val="center"/>
              <w:rPr>
                <w:rFonts w:ascii="仿宋" w:hAnsi="仿宋" w:eastAsia="仿宋" w:cs="仿宋"/>
                <w:b/>
                <w:bCs/>
                <w:sz w:val="24"/>
              </w:rPr>
            </w:pPr>
            <w:r>
              <w:rPr>
                <w:rFonts w:hint="eastAsia" w:ascii="仿宋" w:hAnsi="仿宋" w:eastAsia="仿宋" w:cs="仿宋"/>
                <w:b/>
                <w:bCs/>
                <w:sz w:val="24"/>
              </w:rPr>
              <w:t>方式</w:t>
            </w:r>
          </w:p>
        </w:tc>
        <w:tc>
          <w:tcPr>
            <w:tcW w:w="1769" w:type="dxa"/>
            <w:vAlign w:val="center"/>
          </w:tcPr>
          <w:p>
            <w:pPr>
              <w:snapToGrid w:val="0"/>
              <w:jc w:val="center"/>
              <w:rPr>
                <w:rFonts w:ascii="仿宋" w:hAnsi="仿宋" w:eastAsia="仿宋" w:cs="仿宋"/>
                <w:b/>
                <w:bCs/>
                <w:sz w:val="24"/>
              </w:rPr>
            </w:pPr>
            <w:r>
              <w:rPr>
                <w:rFonts w:hint="eastAsia" w:ascii="仿宋" w:hAnsi="仿宋" w:eastAsia="仿宋" w:cs="仿宋"/>
                <w:b/>
                <w:bCs/>
                <w:sz w:val="24"/>
              </w:rPr>
              <w:t>考核时间</w:t>
            </w:r>
          </w:p>
          <w:p>
            <w:pPr>
              <w:snapToGrid w:val="0"/>
              <w:jc w:val="center"/>
              <w:rPr>
                <w:rFonts w:ascii="仿宋" w:hAnsi="仿宋" w:eastAsia="仿宋" w:cs="仿宋"/>
                <w:b/>
                <w:bCs/>
                <w:sz w:val="24"/>
              </w:rPr>
            </w:pPr>
            <w:r>
              <w:rPr>
                <w:rFonts w:hint="eastAsia" w:ascii="仿宋" w:hAnsi="仿宋" w:eastAsia="仿宋" w:cs="仿宋"/>
                <w:b/>
                <w:bCs/>
                <w:sz w:val="24"/>
              </w:rPr>
              <w:t>及地点</w:t>
            </w:r>
          </w:p>
        </w:tc>
        <w:tc>
          <w:tcPr>
            <w:tcW w:w="1734" w:type="dxa"/>
            <w:vAlign w:val="center"/>
          </w:tcPr>
          <w:p>
            <w:pPr>
              <w:snapToGrid w:val="0"/>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6" w:type="dxa"/>
            <w:vMerge w:val="restart"/>
            <w:vAlign w:val="center"/>
          </w:tcPr>
          <w:p>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信息资源</w:t>
            </w:r>
          </w:p>
          <w:p>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管理</w:t>
            </w:r>
          </w:p>
          <w:p>
            <w:pPr>
              <w:snapToGrid w:val="0"/>
              <w:jc w:val="center"/>
              <w:rPr>
                <w:rFonts w:ascii="仿宋" w:hAnsi="仿宋" w:eastAsia="仿宋" w:cs="仿宋"/>
                <w:sz w:val="24"/>
              </w:rPr>
            </w:pPr>
            <w:r>
              <w:rPr>
                <w:rFonts w:hint="eastAsia" w:ascii="仿宋" w:hAnsi="仿宋" w:eastAsia="仿宋" w:cs="仿宋"/>
                <w:sz w:val="24"/>
              </w:rPr>
              <w:t>（120500）</w:t>
            </w:r>
          </w:p>
        </w:tc>
        <w:tc>
          <w:tcPr>
            <w:tcW w:w="1901" w:type="dxa"/>
            <w:vAlign w:val="center"/>
          </w:tcPr>
          <w:p>
            <w:pPr>
              <w:snapToGrid w:val="0"/>
              <w:rPr>
                <w:rFonts w:ascii="仿宋" w:hAnsi="仿宋" w:eastAsia="仿宋" w:cs="仿宋"/>
                <w:sz w:val="24"/>
              </w:rPr>
            </w:pPr>
            <w:r>
              <w:rPr>
                <w:rFonts w:hint="eastAsia" w:ascii="仿宋" w:hAnsi="仿宋" w:eastAsia="仿宋" w:cs="仿宋"/>
                <w:sz w:val="24"/>
              </w:rPr>
              <w:t>专业课</w:t>
            </w:r>
          </w:p>
        </w:tc>
        <w:tc>
          <w:tcPr>
            <w:tcW w:w="1334" w:type="dxa"/>
            <w:vAlign w:val="center"/>
          </w:tcPr>
          <w:p>
            <w:pPr>
              <w:snapToGrid w:val="0"/>
              <w:jc w:val="center"/>
              <w:rPr>
                <w:rFonts w:ascii="仿宋" w:hAnsi="仿宋" w:eastAsia="仿宋" w:cs="仿宋"/>
                <w:sz w:val="24"/>
              </w:rPr>
            </w:pPr>
            <w:r>
              <w:rPr>
                <w:rFonts w:hint="eastAsia" w:ascii="仿宋" w:hAnsi="仿宋" w:eastAsia="仿宋" w:cs="仿宋"/>
                <w:sz w:val="24"/>
              </w:rPr>
              <w:t>20%</w:t>
            </w:r>
          </w:p>
        </w:tc>
        <w:tc>
          <w:tcPr>
            <w:tcW w:w="967" w:type="dxa"/>
            <w:vMerge w:val="restart"/>
            <w:vAlign w:val="center"/>
          </w:tcPr>
          <w:p>
            <w:pPr>
              <w:snapToGrid w:val="0"/>
              <w:jc w:val="center"/>
              <w:rPr>
                <w:rFonts w:ascii="仿宋" w:hAnsi="仿宋" w:eastAsia="仿宋" w:cs="仿宋"/>
                <w:sz w:val="24"/>
              </w:rPr>
            </w:pPr>
            <w:r>
              <w:rPr>
                <w:rFonts w:hint="eastAsia" w:ascii="仿宋" w:hAnsi="仿宋" w:eastAsia="仿宋" w:cs="仿宋"/>
                <w:sz w:val="24"/>
              </w:rPr>
              <w:t>现场</w:t>
            </w:r>
          </w:p>
          <w:p>
            <w:pPr>
              <w:snapToGrid w:val="0"/>
              <w:jc w:val="center"/>
              <w:rPr>
                <w:rFonts w:ascii="仿宋" w:hAnsi="仿宋" w:eastAsia="仿宋" w:cs="仿宋"/>
                <w:sz w:val="24"/>
              </w:rPr>
            </w:pPr>
            <w:r>
              <w:rPr>
                <w:rFonts w:hint="eastAsia" w:ascii="仿宋" w:hAnsi="仿宋" w:eastAsia="仿宋" w:cs="仿宋"/>
                <w:sz w:val="24"/>
              </w:rPr>
              <w:t>面试</w:t>
            </w:r>
          </w:p>
        </w:tc>
        <w:tc>
          <w:tcPr>
            <w:tcW w:w="1769" w:type="dxa"/>
            <w:vMerge w:val="restart"/>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3月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w:t>
            </w:r>
          </w:p>
          <w:p>
            <w:pPr>
              <w:snapToGrid w:val="0"/>
              <w:jc w:val="center"/>
              <w:rPr>
                <w:rFonts w:ascii="仿宋" w:hAnsi="仿宋" w:eastAsia="仿宋" w:cs="仿宋"/>
                <w:sz w:val="24"/>
              </w:rPr>
            </w:pPr>
            <w:r>
              <w:rPr>
                <w:rFonts w:hint="eastAsia" w:ascii="仿宋" w:hAnsi="仿宋" w:eastAsia="仿宋" w:cs="仿宋"/>
                <w:color w:val="auto"/>
                <w:sz w:val="24"/>
                <w:highlight w:val="none"/>
              </w:rPr>
              <w:t>上午</w:t>
            </w:r>
            <w:r>
              <w:rPr>
                <w:rFonts w:hint="eastAsia" w:ascii="仿宋" w:hAnsi="仿宋" w:eastAsia="仿宋" w:cs="仿宋"/>
                <w:color w:val="auto"/>
                <w:sz w:val="24"/>
                <w:highlight w:val="none"/>
                <w:lang w:val="en-US" w:eastAsia="zh-CN"/>
              </w:rPr>
              <w:t>8:30</w:t>
            </w:r>
            <w:r>
              <w:rPr>
                <w:rFonts w:hint="eastAsia" w:ascii="仿宋" w:hAnsi="仿宋" w:eastAsia="仿宋" w:cs="仿宋"/>
                <w:color w:val="auto"/>
                <w:sz w:val="24"/>
                <w:highlight w:val="none"/>
              </w:rPr>
              <w:t>开始</w:t>
            </w:r>
          </w:p>
        </w:tc>
        <w:tc>
          <w:tcPr>
            <w:tcW w:w="1734" w:type="dxa"/>
            <w:vMerge w:val="restart"/>
            <w:vAlign w:val="center"/>
          </w:tcPr>
          <w:p>
            <w:pPr>
              <w:snapToGrid w:val="0"/>
              <w:jc w:val="center"/>
              <w:rPr>
                <w:rFonts w:ascii="仿宋" w:hAnsi="仿宋" w:eastAsia="仿宋" w:cs="仿宋"/>
                <w:sz w:val="24"/>
              </w:rPr>
            </w:pPr>
            <w:r>
              <w:rPr>
                <w:rFonts w:hint="eastAsia" w:ascii="仿宋" w:hAnsi="仿宋" w:eastAsia="仿宋" w:cs="仿宋"/>
                <w:sz w:val="24"/>
              </w:rPr>
              <w:t>请于面试开始前15分钟到信息管理学院A108报到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6" w:type="dxa"/>
            <w:vMerge w:val="continue"/>
            <w:vAlign w:val="center"/>
          </w:tcPr>
          <w:p>
            <w:pPr>
              <w:snapToGrid w:val="0"/>
              <w:jc w:val="center"/>
              <w:rPr>
                <w:rFonts w:ascii="仿宋" w:hAnsi="仿宋" w:eastAsia="仿宋" w:cs="仿宋"/>
                <w:sz w:val="24"/>
              </w:rPr>
            </w:pPr>
          </w:p>
        </w:tc>
        <w:tc>
          <w:tcPr>
            <w:tcW w:w="1901" w:type="dxa"/>
            <w:vAlign w:val="center"/>
          </w:tcPr>
          <w:p>
            <w:pPr>
              <w:snapToGrid w:val="0"/>
              <w:rPr>
                <w:rFonts w:ascii="仿宋" w:hAnsi="仿宋" w:eastAsia="仿宋" w:cs="仿宋"/>
                <w:sz w:val="24"/>
              </w:rPr>
            </w:pPr>
            <w:r>
              <w:rPr>
                <w:rFonts w:hint="eastAsia" w:ascii="仿宋" w:hAnsi="仿宋" w:eastAsia="仿宋" w:cs="仿宋"/>
                <w:sz w:val="24"/>
              </w:rPr>
              <w:t>外语应用能力测试</w:t>
            </w:r>
          </w:p>
        </w:tc>
        <w:tc>
          <w:tcPr>
            <w:tcW w:w="1334" w:type="dxa"/>
            <w:vAlign w:val="center"/>
          </w:tcPr>
          <w:p>
            <w:pPr>
              <w:snapToGrid w:val="0"/>
              <w:jc w:val="center"/>
              <w:rPr>
                <w:rFonts w:ascii="仿宋" w:hAnsi="仿宋" w:eastAsia="仿宋" w:cs="仿宋"/>
                <w:sz w:val="24"/>
              </w:rPr>
            </w:pPr>
            <w:r>
              <w:rPr>
                <w:rFonts w:hint="eastAsia" w:ascii="仿宋" w:hAnsi="仿宋" w:eastAsia="仿宋" w:cs="仿宋"/>
                <w:sz w:val="24"/>
              </w:rPr>
              <w:t>20%</w:t>
            </w:r>
          </w:p>
        </w:tc>
        <w:tc>
          <w:tcPr>
            <w:tcW w:w="967" w:type="dxa"/>
            <w:vMerge w:val="continue"/>
            <w:vAlign w:val="center"/>
          </w:tcPr>
          <w:p>
            <w:pPr>
              <w:snapToGrid w:val="0"/>
              <w:jc w:val="center"/>
              <w:rPr>
                <w:rFonts w:ascii="仿宋" w:hAnsi="仿宋" w:eastAsia="仿宋" w:cs="仿宋"/>
                <w:sz w:val="24"/>
              </w:rPr>
            </w:pPr>
          </w:p>
        </w:tc>
        <w:tc>
          <w:tcPr>
            <w:tcW w:w="1769" w:type="dxa"/>
            <w:vMerge w:val="continue"/>
            <w:vAlign w:val="center"/>
          </w:tcPr>
          <w:p>
            <w:pPr>
              <w:snapToGrid w:val="0"/>
              <w:jc w:val="center"/>
              <w:rPr>
                <w:rFonts w:ascii="仿宋" w:hAnsi="仿宋" w:eastAsia="仿宋" w:cs="仿宋"/>
                <w:sz w:val="24"/>
              </w:rPr>
            </w:pPr>
          </w:p>
        </w:tc>
        <w:tc>
          <w:tcPr>
            <w:tcW w:w="1734" w:type="dxa"/>
            <w:vMerge w:val="continue"/>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6" w:type="dxa"/>
            <w:vMerge w:val="continue"/>
            <w:vAlign w:val="center"/>
          </w:tcPr>
          <w:p>
            <w:pPr>
              <w:snapToGrid w:val="0"/>
              <w:jc w:val="center"/>
              <w:rPr>
                <w:rFonts w:ascii="仿宋" w:hAnsi="仿宋" w:eastAsia="仿宋" w:cs="仿宋"/>
                <w:sz w:val="24"/>
              </w:rPr>
            </w:pPr>
          </w:p>
        </w:tc>
        <w:tc>
          <w:tcPr>
            <w:tcW w:w="1901" w:type="dxa"/>
            <w:vAlign w:val="center"/>
          </w:tcPr>
          <w:p>
            <w:pPr>
              <w:snapToGrid w:val="0"/>
              <w:rPr>
                <w:rFonts w:ascii="仿宋" w:hAnsi="仿宋" w:eastAsia="仿宋" w:cs="仿宋"/>
                <w:sz w:val="24"/>
              </w:rPr>
            </w:pPr>
            <w:r>
              <w:rPr>
                <w:rFonts w:hint="eastAsia" w:ascii="仿宋" w:hAnsi="仿宋" w:eastAsia="仿宋" w:cs="仿宋"/>
                <w:sz w:val="24"/>
              </w:rPr>
              <w:t>专业能力及综合素质考核</w:t>
            </w:r>
          </w:p>
        </w:tc>
        <w:tc>
          <w:tcPr>
            <w:tcW w:w="1334" w:type="dxa"/>
            <w:vAlign w:val="center"/>
          </w:tcPr>
          <w:p>
            <w:pPr>
              <w:snapToGrid w:val="0"/>
              <w:jc w:val="center"/>
              <w:rPr>
                <w:rFonts w:ascii="仿宋" w:hAnsi="仿宋" w:eastAsia="仿宋" w:cs="仿宋"/>
                <w:sz w:val="24"/>
              </w:rPr>
            </w:pPr>
            <w:r>
              <w:rPr>
                <w:rFonts w:hint="eastAsia" w:ascii="仿宋" w:hAnsi="仿宋" w:eastAsia="仿宋" w:cs="仿宋"/>
                <w:sz w:val="24"/>
              </w:rPr>
              <w:t>60%</w:t>
            </w:r>
          </w:p>
        </w:tc>
        <w:tc>
          <w:tcPr>
            <w:tcW w:w="967" w:type="dxa"/>
            <w:vMerge w:val="continue"/>
            <w:vAlign w:val="center"/>
          </w:tcPr>
          <w:p>
            <w:pPr>
              <w:snapToGrid w:val="0"/>
              <w:jc w:val="center"/>
              <w:rPr>
                <w:rFonts w:ascii="仿宋" w:hAnsi="仿宋" w:eastAsia="仿宋" w:cs="仿宋"/>
                <w:sz w:val="24"/>
              </w:rPr>
            </w:pPr>
          </w:p>
        </w:tc>
        <w:tc>
          <w:tcPr>
            <w:tcW w:w="1769" w:type="dxa"/>
            <w:vMerge w:val="continue"/>
            <w:vAlign w:val="center"/>
          </w:tcPr>
          <w:p>
            <w:pPr>
              <w:snapToGrid w:val="0"/>
              <w:jc w:val="center"/>
              <w:rPr>
                <w:rFonts w:ascii="仿宋" w:hAnsi="仿宋" w:eastAsia="仿宋" w:cs="仿宋"/>
                <w:sz w:val="24"/>
              </w:rPr>
            </w:pPr>
          </w:p>
        </w:tc>
        <w:tc>
          <w:tcPr>
            <w:tcW w:w="1734" w:type="dxa"/>
            <w:vMerge w:val="continue"/>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6" w:type="dxa"/>
            <w:vMerge w:val="restart"/>
            <w:vAlign w:val="center"/>
          </w:tcPr>
          <w:p>
            <w:pPr>
              <w:snapToGrid w:val="0"/>
              <w:jc w:val="center"/>
              <w:rPr>
                <w:rFonts w:ascii="仿宋" w:hAnsi="仿宋" w:eastAsia="仿宋" w:cs="仿宋"/>
                <w:sz w:val="24"/>
              </w:rPr>
            </w:pPr>
            <w:r>
              <w:rPr>
                <w:rFonts w:hint="eastAsia" w:ascii="仿宋" w:hAnsi="仿宋" w:eastAsia="仿宋" w:cs="仿宋"/>
                <w:sz w:val="24"/>
              </w:rPr>
              <w:t>图书情报</w:t>
            </w:r>
          </w:p>
          <w:p>
            <w:pPr>
              <w:snapToGrid w:val="0"/>
              <w:jc w:val="center"/>
              <w:rPr>
                <w:rFonts w:hint="eastAsia" w:ascii="仿宋" w:hAnsi="仿宋" w:eastAsia="仿宋" w:cs="仿宋"/>
                <w:sz w:val="24"/>
              </w:rPr>
            </w:pPr>
            <w:r>
              <w:rPr>
                <w:rFonts w:hint="eastAsia" w:ascii="仿宋" w:hAnsi="仿宋" w:eastAsia="仿宋" w:cs="仿宋"/>
                <w:sz w:val="24"/>
              </w:rPr>
              <w:t>（125500）</w:t>
            </w:r>
          </w:p>
          <w:p>
            <w:pPr>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文献与文化遗产保护（1258S1）</w:t>
            </w:r>
          </w:p>
        </w:tc>
        <w:tc>
          <w:tcPr>
            <w:tcW w:w="1901" w:type="dxa"/>
            <w:vAlign w:val="center"/>
          </w:tcPr>
          <w:p>
            <w:pPr>
              <w:snapToGrid w:val="0"/>
              <w:rPr>
                <w:rFonts w:ascii="仿宋" w:hAnsi="仿宋" w:eastAsia="仿宋" w:cs="仿宋"/>
                <w:sz w:val="24"/>
              </w:rPr>
            </w:pPr>
            <w:r>
              <w:rPr>
                <w:rFonts w:hint="eastAsia" w:ascii="仿宋" w:hAnsi="仿宋" w:eastAsia="仿宋" w:cs="仿宋"/>
                <w:sz w:val="24"/>
              </w:rPr>
              <w:t>专业能力及综合素质考核1：思想政治理论</w:t>
            </w:r>
          </w:p>
        </w:tc>
        <w:tc>
          <w:tcPr>
            <w:tcW w:w="1334" w:type="dxa"/>
            <w:vAlign w:val="center"/>
          </w:tcPr>
          <w:p>
            <w:pPr>
              <w:snapToGrid w:val="0"/>
              <w:jc w:val="center"/>
              <w:rPr>
                <w:rFonts w:ascii="仿宋" w:hAnsi="仿宋" w:eastAsia="仿宋" w:cs="仿宋"/>
                <w:sz w:val="24"/>
              </w:rPr>
            </w:pPr>
            <w:r>
              <w:rPr>
                <w:rFonts w:hint="eastAsia" w:ascii="仿宋" w:hAnsi="仿宋" w:eastAsia="仿宋" w:cs="仿宋"/>
                <w:sz w:val="24"/>
              </w:rPr>
              <w:t>20%</w:t>
            </w:r>
          </w:p>
        </w:tc>
        <w:tc>
          <w:tcPr>
            <w:tcW w:w="967" w:type="dxa"/>
            <w:vAlign w:val="center"/>
          </w:tcPr>
          <w:p>
            <w:pPr>
              <w:snapToGrid w:val="0"/>
              <w:jc w:val="center"/>
              <w:rPr>
                <w:rFonts w:ascii="仿宋" w:hAnsi="仿宋" w:eastAsia="仿宋" w:cs="仿宋"/>
                <w:sz w:val="24"/>
              </w:rPr>
            </w:pPr>
            <w:r>
              <w:rPr>
                <w:rFonts w:hint="eastAsia" w:ascii="仿宋" w:hAnsi="仿宋" w:eastAsia="仿宋" w:cs="仿宋"/>
                <w:sz w:val="24"/>
              </w:rPr>
              <w:t>闭卷</w:t>
            </w:r>
          </w:p>
          <w:p>
            <w:pPr>
              <w:snapToGrid w:val="0"/>
              <w:jc w:val="center"/>
              <w:rPr>
                <w:rFonts w:ascii="仿宋" w:hAnsi="仿宋" w:eastAsia="仿宋" w:cs="仿宋"/>
                <w:sz w:val="24"/>
              </w:rPr>
            </w:pPr>
            <w:r>
              <w:rPr>
                <w:rFonts w:hint="eastAsia" w:ascii="仿宋" w:hAnsi="仿宋" w:eastAsia="仿宋" w:cs="仿宋"/>
                <w:sz w:val="24"/>
              </w:rPr>
              <w:t>笔试</w:t>
            </w:r>
          </w:p>
        </w:tc>
        <w:tc>
          <w:tcPr>
            <w:tcW w:w="1769" w:type="dxa"/>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3月30日</w:t>
            </w:r>
          </w:p>
          <w:p>
            <w:pPr>
              <w:snapToGrid w:val="0"/>
              <w:jc w:val="center"/>
              <w:rPr>
                <w:rFonts w:hint="default" w:ascii="仿宋" w:hAnsi="仿宋" w:eastAsia="仿宋" w:cs="仿宋"/>
                <w:sz w:val="24"/>
                <w:highlight w:val="none"/>
                <w:lang w:val="en-US" w:eastAsia="zh-CN"/>
              </w:rPr>
            </w:pPr>
            <w:r>
              <w:rPr>
                <w:rFonts w:hint="eastAsia" w:ascii="仿宋" w:hAnsi="仿宋" w:eastAsia="仿宋" w:cs="仿宋"/>
                <w:color w:val="auto"/>
                <w:sz w:val="24"/>
                <w:highlight w:val="none"/>
                <w:lang w:val="en-US" w:eastAsia="zh-CN"/>
              </w:rPr>
              <w:t>上午10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0，地点：东校园公共教学</w:t>
            </w:r>
            <w:r>
              <w:rPr>
                <w:rFonts w:hint="eastAsia" w:ascii="仿宋" w:hAnsi="仿宋" w:eastAsia="仿宋" w:cs="仿宋"/>
                <w:color w:val="auto"/>
                <w:sz w:val="24"/>
                <w:highlight w:val="none"/>
                <w:lang w:val="en-US" w:eastAsia="zh-CN"/>
              </w:rPr>
              <w:t>楼A207</w:t>
            </w:r>
          </w:p>
        </w:tc>
        <w:tc>
          <w:tcPr>
            <w:tcW w:w="1734" w:type="dxa"/>
            <w:vAlign w:val="center"/>
          </w:tcPr>
          <w:p>
            <w:pPr>
              <w:snapToGrid w:val="0"/>
              <w:jc w:val="center"/>
              <w:rPr>
                <w:rFonts w:ascii="仿宋" w:hAnsi="仿宋" w:eastAsia="仿宋" w:cs="仿宋"/>
                <w:color w:val="FF0000"/>
                <w:sz w:val="24"/>
              </w:rPr>
            </w:pPr>
            <w:r>
              <w:rPr>
                <w:rFonts w:hint="eastAsia" w:ascii="仿宋" w:hAnsi="仿宋" w:eastAsia="仿宋" w:cs="仿宋"/>
                <w:sz w:val="24"/>
              </w:rPr>
              <w:t>参考书目：《思想政治理论考试分析》（高等教育出版社，2024年）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6" w:type="dxa"/>
            <w:vMerge w:val="continue"/>
            <w:vAlign w:val="center"/>
          </w:tcPr>
          <w:p>
            <w:pPr>
              <w:snapToGrid w:val="0"/>
              <w:rPr>
                <w:rFonts w:ascii="仿宋" w:hAnsi="仿宋" w:eastAsia="仿宋" w:cs="仿宋"/>
                <w:sz w:val="24"/>
              </w:rPr>
            </w:pPr>
          </w:p>
        </w:tc>
        <w:tc>
          <w:tcPr>
            <w:tcW w:w="1901" w:type="dxa"/>
            <w:vAlign w:val="center"/>
          </w:tcPr>
          <w:p>
            <w:pPr>
              <w:snapToGrid w:val="0"/>
              <w:rPr>
                <w:rFonts w:ascii="仿宋" w:hAnsi="仿宋" w:eastAsia="仿宋" w:cs="仿宋"/>
                <w:sz w:val="24"/>
              </w:rPr>
            </w:pPr>
            <w:r>
              <w:rPr>
                <w:rFonts w:hint="eastAsia" w:ascii="仿宋" w:hAnsi="仿宋" w:eastAsia="仿宋" w:cs="仿宋"/>
                <w:sz w:val="24"/>
              </w:rPr>
              <w:t>专业课</w:t>
            </w:r>
          </w:p>
        </w:tc>
        <w:tc>
          <w:tcPr>
            <w:tcW w:w="1334" w:type="dxa"/>
            <w:vAlign w:val="center"/>
          </w:tcPr>
          <w:p>
            <w:pPr>
              <w:snapToGrid w:val="0"/>
              <w:jc w:val="center"/>
              <w:rPr>
                <w:rFonts w:ascii="仿宋" w:hAnsi="仿宋" w:eastAsia="仿宋" w:cs="仿宋"/>
                <w:sz w:val="24"/>
              </w:rPr>
            </w:pPr>
            <w:r>
              <w:rPr>
                <w:rFonts w:hint="eastAsia" w:ascii="仿宋" w:hAnsi="仿宋" w:eastAsia="仿宋" w:cs="仿宋"/>
                <w:sz w:val="24"/>
              </w:rPr>
              <w:t>20%</w:t>
            </w:r>
          </w:p>
        </w:tc>
        <w:tc>
          <w:tcPr>
            <w:tcW w:w="967" w:type="dxa"/>
            <w:vMerge w:val="restart"/>
            <w:vAlign w:val="center"/>
          </w:tcPr>
          <w:p>
            <w:pPr>
              <w:snapToGrid w:val="0"/>
              <w:jc w:val="center"/>
              <w:rPr>
                <w:rFonts w:ascii="仿宋" w:hAnsi="仿宋" w:eastAsia="仿宋" w:cs="仿宋"/>
                <w:sz w:val="24"/>
              </w:rPr>
            </w:pPr>
            <w:r>
              <w:rPr>
                <w:rFonts w:hint="eastAsia" w:ascii="仿宋" w:hAnsi="仿宋" w:eastAsia="仿宋" w:cs="仿宋"/>
                <w:sz w:val="24"/>
              </w:rPr>
              <w:t>现场</w:t>
            </w:r>
          </w:p>
          <w:p>
            <w:pPr>
              <w:snapToGrid w:val="0"/>
              <w:jc w:val="center"/>
              <w:rPr>
                <w:rFonts w:ascii="仿宋" w:hAnsi="仿宋" w:eastAsia="仿宋" w:cs="仿宋"/>
                <w:sz w:val="24"/>
              </w:rPr>
            </w:pPr>
            <w:r>
              <w:rPr>
                <w:rFonts w:hint="eastAsia" w:ascii="仿宋" w:hAnsi="仿宋" w:eastAsia="仿宋" w:cs="仿宋"/>
                <w:sz w:val="24"/>
              </w:rPr>
              <w:t>面试</w:t>
            </w:r>
          </w:p>
        </w:tc>
        <w:tc>
          <w:tcPr>
            <w:tcW w:w="1769" w:type="dxa"/>
            <w:vMerge w:val="restart"/>
            <w:vAlign w:val="center"/>
          </w:tcPr>
          <w:p>
            <w:pPr>
              <w:snapToGrid w:val="0"/>
              <w:jc w:val="center"/>
              <w:rPr>
                <w:rFonts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日</w:t>
            </w:r>
          </w:p>
          <w:p>
            <w:pPr>
              <w:snapToGrid w:val="0"/>
              <w:jc w:val="center"/>
              <w:rPr>
                <w:rFonts w:ascii="仿宋" w:hAnsi="仿宋" w:eastAsia="仿宋" w:cs="仿宋"/>
                <w:sz w:val="24"/>
                <w:highlight w:val="none"/>
              </w:rPr>
            </w:pPr>
            <w:r>
              <w:rPr>
                <w:rFonts w:hint="eastAsia" w:ascii="仿宋" w:hAnsi="仿宋" w:eastAsia="仿宋" w:cs="仿宋"/>
                <w:sz w:val="24"/>
                <w:highlight w:val="none"/>
              </w:rPr>
              <w:t>下午1点开</w:t>
            </w:r>
            <w:bookmarkStart w:id="0" w:name="_GoBack"/>
            <w:bookmarkEnd w:id="0"/>
            <w:r>
              <w:rPr>
                <w:rFonts w:hint="eastAsia" w:ascii="仿宋" w:hAnsi="仿宋" w:eastAsia="仿宋" w:cs="仿宋"/>
                <w:sz w:val="24"/>
                <w:highlight w:val="none"/>
              </w:rPr>
              <w:t>始</w:t>
            </w:r>
          </w:p>
        </w:tc>
        <w:tc>
          <w:tcPr>
            <w:tcW w:w="1734" w:type="dxa"/>
            <w:vMerge w:val="restart"/>
            <w:vAlign w:val="center"/>
          </w:tcPr>
          <w:p>
            <w:pPr>
              <w:snapToGrid w:val="0"/>
              <w:jc w:val="center"/>
              <w:rPr>
                <w:rFonts w:ascii="仿宋" w:hAnsi="仿宋" w:eastAsia="仿宋" w:cs="仿宋"/>
                <w:sz w:val="24"/>
              </w:rPr>
            </w:pPr>
            <w:r>
              <w:rPr>
                <w:rFonts w:hint="eastAsia" w:ascii="仿宋" w:hAnsi="仿宋" w:eastAsia="仿宋" w:cs="仿宋"/>
                <w:sz w:val="24"/>
              </w:rPr>
              <w:t>请于面试开始前15分钟到信息管理学院A108报到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6" w:type="dxa"/>
            <w:vMerge w:val="continue"/>
            <w:vAlign w:val="center"/>
          </w:tcPr>
          <w:p>
            <w:pPr>
              <w:snapToGrid w:val="0"/>
              <w:rPr>
                <w:rFonts w:ascii="仿宋" w:hAnsi="仿宋" w:eastAsia="仿宋" w:cs="仿宋"/>
                <w:sz w:val="28"/>
                <w:szCs w:val="28"/>
              </w:rPr>
            </w:pPr>
          </w:p>
        </w:tc>
        <w:tc>
          <w:tcPr>
            <w:tcW w:w="1901" w:type="dxa"/>
            <w:vAlign w:val="center"/>
          </w:tcPr>
          <w:p>
            <w:pPr>
              <w:snapToGrid w:val="0"/>
              <w:rPr>
                <w:rFonts w:ascii="仿宋" w:hAnsi="仿宋" w:eastAsia="仿宋" w:cs="仿宋"/>
                <w:sz w:val="24"/>
              </w:rPr>
            </w:pPr>
            <w:r>
              <w:rPr>
                <w:rFonts w:hint="eastAsia" w:ascii="仿宋" w:hAnsi="仿宋" w:eastAsia="仿宋" w:cs="仿宋"/>
                <w:sz w:val="24"/>
              </w:rPr>
              <w:t>外语应用能力测试</w:t>
            </w:r>
          </w:p>
        </w:tc>
        <w:tc>
          <w:tcPr>
            <w:tcW w:w="1334" w:type="dxa"/>
            <w:vAlign w:val="center"/>
          </w:tcPr>
          <w:p>
            <w:pPr>
              <w:snapToGrid w:val="0"/>
              <w:jc w:val="center"/>
              <w:rPr>
                <w:rFonts w:ascii="仿宋" w:hAnsi="仿宋" w:eastAsia="仿宋" w:cs="仿宋"/>
                <w:sz w:val="24"/>
              </w:rPr>
            </w:pPr>
            <w:r>
              <w:rPr>
                <w:rFonts w:hint="eastAsia" w:ascii="仿宋" w:hAnsi="仿宋" w:eastAsia="仿宋" w:cs="仿宋"/>
                <w:sz w:val="24"/>
              </w:rPr>
              <w:t>20%</w:t>
            </w:r>
          </w:p>
        </w:tc>
        <w:tc>
          <w:tcPr>
            <w:tcW w:w="967" w:type="dxa"/>
            <w:vMerge w:val="continue"/>
            <w:vAlign w:val="center"/>
          </w:tcPr>
          <w:p>
            <w:pPr>
              <w:snapToGrid w:val="0"/>
              <w:spacing w:line="360" w:lineRule="auto"/>
              <w:jc w:val="center"/>
              <w:rPr>
                <w:rFonts w:ascii="仿宋" w:hAnsi="仿宋" w:eastAsia="仿宋" w:cs="仿宋"/>
                <w:sz w:val="28"/>
                <w:szCs w:val="28"/>
              </w:rPr>
            </w:pPr>
          </w:p>
        </w:tc>
        <w:tc>
          <w:tcPr>
            <w:tcW w:w="1769" w:type="dxa"/>
            <w:vMerge w:val="continue"/>
            <w:vAlign w:val="center"/>
          </w:tcPr>
          <w:p>
            <w:pPr>
              <w:snapToGrid w:val="0"/>
              <w:spacing w:line="360" w:lineRule="auto"/>
              <w:rPr>
                <w:rFonts w:ascii="仿宋" w:hAnsi="仿宋" w:eastAsia="仿宋" w:cs="仿宋"/>
                <w:sz w:val="28"/>
                <w:szCs w:val="28"/>
              </w:rPr>
            </w:pPr>
          </w:p>
        </w:tc>
        <w:tc>
          <w:tcPr>
            <w:tcW w:w="1734" w:type="dxa"/>
            <w:vMerge w:val="continue"/>
            <w:vAlign w:val="center"/>
          </w:tcPr>
          <w:p>
            <w:pPr>
              <w:snapToGrid w:val="0"/>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6" w:type="dxa"/>
            <w:vMerge w:val="continue"/>
            <w:vAlign w:val="center"/>
          </w:tcPr>
          <w:p>
            <w:pPr>
              <w:snapToGrid w:val="0"/>
              <w:rPr>
                <w:rFonts w:ascii="仿宋" w:hAnsi="仿宋" w:eastAsia="仿宋" w:cs="仿宋"/>
                <w:sz w:val="28"/>
                <w:szCs w:val="28"/>
              </w:rPr>
            </w:pPr>
          </w:p>
        </w:tc>
        <w:tc>
          <w:tcPr>
            <w:tcW w:w="1901" w:type="dxa"/>
            <w:vAlign w:val="center"/>
          </w:tcPr>
          <w:p>
            <w:pPr>
              <w:snapToGrid w:val="0"/>
              <w:rPr>
                <w:rFonts w:ascii="仿宋" w:hAnsi="仿宋" w:eastAsia="仿宋" w:cs="仿宋"/>
                <w:sz w:val="24"/>
              </w:rPr>
            </w:pPr>
            <w:r>
              <w:rPr>
                <w:rFonts w:hint="eastAsia" w:ascii="仿宋" w:hAnsi="仿宋" w:eastAsia="仿宋" w:cs="仿宋"/>
                <w:sz w:val="24"/>
              </w:rPr>
              <w:t>专业能力及综合素质考核2</w:t>
            </w:r>
          </w:p>
        </w:tc>
        <w:tc>
          <w:tcPr>
            <w:tcW w:w="1334" w:type="dxa"/>
            <w:vAlign w:val="center"/>
          </w:tcPr>
          <w:p>
            <w:pPr>
              <w:snapToGrid w:val="0"/>
              <w:jc w:val="center"/>
              <w:rPr>
                <w:rFonts w:ascii="仿宋" w:hAnsi="仿宋" w:eastAsia="仿宋" w:cs="仿宋"/>
                <w:sz w:val="24"/>
              </w:rPr>
            </w:pPr>
            <w:r>
              <w:rPr>
                <w:rFonts w:hint="eastAsia" w:ascii="仿宋" w:hAnsi="仿宋" w:eastAsia="仿宋" w:cs="仿宋"/>
                <w:sz w:val="24"/>
              </w:rPr>
              <w:t>40%</w:t>
            </w:r>
          </w:p>
        </w:tc>
        <w:tc>
          <w:tcPr>
            <w:tcW w:w="967" w:type="dxa"/>
            <w:vMerge w:val="continue"/>
            <w:vAlign w:val="center"/>
          </w:tcPr>
          <w:p>
            <w:pPr>
              <w:snapToGrid w:val="0"/>
              <w:spacing w:line="360" w:lineRule="auto"/>
              <w:jc w:val="center"/>
              <w:rPr>
                <w:rFonts w:ascii="仿宋" w:hAnsi="仿宋" w:eastAsia="仿宋" w:cs="仿宋"/>
                <w:sz w:val="28"/>
                <w:szCs w:val="28"/>
              </w:rPr>
            </w:pPr>
          </w:p>
        </w:tc>
        <w:tc>
          <w:tcPr>
            <w:tcW w:w="1769" w:type="dxa"/>
            <w:vMerge w:val="continue"/>
            <w:vAlign w:val="center"/>
          </w:tcPr>
          <w:p>
            <w:pPr>
              <w:snapToGrid w:val="0"/>
              <w:spacing w:line="360" w:lineRule="auto"/>
              <w:rPr>
                <w:rFonts w:ascii="仿宋" w:hAnsi="仿宋" w:eastAsia="仿宋" w:cs="仿宋"/>
                <w:sz w:val="28"/>
                <w:szCs w:val="28"/>
              </w:rPr>
            </w:pPr>
          </w:p>
        </w:tc>
        <w:tc>
          <w:tcPr>
            <w:tcW w:w="1734" w:type="dxa"/>
            <w:vMerge w:val="continue"/>
            <w:vAlign w:val="center"/>
          </w:tcPr>
          <w:p>
            <w:pPr>
              <w:snapToGrid w:val="0"/>
              <w:spacing w:line="360" w:lineRule="auto"/>
              <w:rPr>
                <w:rFonts w:ascii="仿宋" w:hAnsi="仿宋" w:eastAsia="仿宋" w:cs="仿宋"/>
                <w:sz w:val="28"/>
                <w:szCs w:val="28"/>
              </w:rPr>
            </w:pPr>
          </w:p>
        </w:tc>
      </w:tr>
    </w:tbl>
    <w:p>
      <w:pPr>
        <w:spacing w:line="540" w:lineRule="exact"/>
        <w:ind w:firstLine="560" w:firstLineChars="200"/>
        <w:rPr>
          <w:rFonts w:ascii="仿宋" w:hAnsi="仿宋" w:eastAsia="仿宋" w:cs="仿宋"/>
          <w:kern w:val="0"/>
          <w:sz w:val="28"/>
          <w:szCs w:val="28"/>
        </w:rPr>
      </w:pP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1.笔试为闭卷考试。请考生提前 15 分钟进考场，对号入座。 </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2.将身份证放在桌面左上角，以备查验。不允许自带草稿纸。关闭手机等通讯设备。所有与考试无关的物品请集中放在课室前方。作弊者将被取消复试资格。 </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3.考试完毕后须将试卷、答题纸、草稿纸一并上交。</w:t>
      </w:r>
    </w:p>
    <w:p>
      <w:pPr>
        <w:spacing w:line="540" w:lineRule="exact"/>
        <w:ind w:firstLine="640" w:firstLineChars="200"/>
        <w:rPr>
          <w:rFonts w:ascii="仿宋" w:hAnsi="仿宋" w:eastAsia="仿宋" w:cs="仿宋"/>
          <w:kern w:val="0"/>
          <w:sz w:val="32"/>
          <w:szCs w:val="32"/>
        </w:rPr>
      </w:pPr>
    </w:p>
    <w:p>
      <w:pPr>
        <w:pStyle w:val="6"/>
        <w:spacing w:before="0" w:beforeAutospacing="0" w:after="0" w:afterAutospacing="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三、复试纪律</w:t>
      </w:r>
    </w:p>
    <w:p>
      <w:pPr>
        <w:pStyle w:val="6"/>
        <w:spacing w:before="0" w:beforeAutospacing="0" w:after="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 考生独立参加考试，复试过程无替考、代考等行为。</w:t>
      </w:r>
    </w:p>
    <w:p>
      <w:pPr>
        <w:pStyle w:val="6"/>
        <w:spacing w:before="0" w:beforeAutospacing="0" w:after="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 严格按照报考条件及相关政策要求，真实、准确、完整提交报名信息和各项材料。如提供虚假、错误信息或弄虚作假，考生承担由此造成的一切后果。</w:t>
      </w:r>
    </w:p>
    <w:p>
      <w:pPr>
        <w:pStyle w:val="6"/>
        <w:spacing w:before="0" w:beforeAutospacing="0" w:after="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 自觉遵守中国相关法律、学校及招生单位复试纪律、复试规则，诚信复试，不作弊。</w:t>
      </w:r>
    </w:p>
    <w:p>
      <w:pPr>
        <w:pStyle w:val="6"/>
        <w:spacing w:before="0" w:beforeAutospacing="0" w:after="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 自觉服从学校及招生单位安排，接受复试小组和工作人员的管理、监督和检查。</w:t>
      </w:r>
    </w:p>
    <w:p>
      <w:pPr>
        <w:pStyle w:val="6"/>
        <w:spacing w:before="0" w:beforeAutospacing="0" w:after="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 复试现场只带必要的白纸、笔等文具，不携带任何书籍书刊、报纸、图片、相关文字或电子资料。</w:t>
      </w:r>
    </w:p>
    <w:p>
      <w:pPr>
        <w:pStyle w:val="6"/>
        <w:spacing w:before="0" w:beforeAutospacing="0" w:after="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6.考后对复试试题内容等有关情况及复试现场情况保密，不以任何方式传播复试试题内容等有关情况、不向任何人或机构透露复试题目。</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color w:val="000000" w:themeColor="text1"/>
          <w:sz w:val="32"/>
          <w:szCs w:val="32"/>
          <w14:textFill>
            <w14:solidFill>
              <w14:schemeClr w14:val="tx1"/>
            </w14:solidFill>
          </w14:textFill>
        </w:rPr>
        <w:t>7. 如不遵守考场规则，不服从考务工作人员管理，有违纪、作弊等行为，将按照《中华人民共和国教育法》《国家教育考试违规处理办法》（教育部令第33号）及学校相关规定接受处理。</w:t>
      </w:r>
    </w:p>
    <w:p>
      <w:pPr>
        <w:spacing w:line="360" w:lineRule="auto"/>
        <w:ind w:firstLine="640" w:firstLineChars="2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E8C8E4"/>
    <w:multiLevelType w:val="singleLevel"/>
    <w:tmpl w:val="E3E8C8E4"/>
    <w:lvl w:ilvl="0" w:tentative="0">
      <w:start w:val="2"/>
      <w:numFmt w:val="chineseCounting"/>
      <w:suff w:val="nothing"/>
      <w:lvlText w:val="%1、"/>
      <w:lvlJc w:val="left"/>
      <w:rPr>
        <w:rFonts w:hint="eastAsia"/>
      </w:rPr>
    </w:lvl>
  </w:abstractNum>
  <w:abstractNum w:abstractNumId="1">
    <w:nsid w:val="79CA8B94"/>
    <w:multiLevelType w:val="singleLevel"/>
    <w:tmpl w:val="79CA8B94"/>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iOWNlNDMyYjRmY2Q0ZWRmNTYzYjVmY2UwYWVmNmEifQ=="/>
  </w:docVars>
  <w:rsids>
    <w:rsidRoot w:val="00BE2F88"/>
    <w:rsid w:val="000029F6"/>
    <w:rsid w:val="00025661"/>
    <w:rsid w:val="000265E0"/>
    <w:rsid w:val="0003503D"/>
    <w:rsid w:val="000406E3"/>
    <w:rsid w:val="000769EF"/>
    <w:rsid w:val="000833AA"/>
    <w:rsid w:val="00084DDB"/>
    <w:rsid w:val="00085059"/>
    <w:rsid w:val="00096D79"/>
    <w:rsid w:val="000A18A5"/>
    <w:rsid w:val="000A3CB3"/>
    <w:rsid w:val="000A7108"/>
    <w:rsid w:val="000C5953"/>
    <w:rsid w:val="000C7D7F"/>
    <w:rsid w:val="000D036C"/>
    <w:rsid w:val="000D1BDA"/>
    <w:rsid w:val="000E001A"/>
    <w:rsid w:val="000F4268"/>
    <w:rsid w:val="000F4E81"/>
    <w:rsid w:val="001000DE"/>
    <w:rsid w:val="0010160C"/>
    <w:rsid w:val="0010210B"/>
    <w:rsid w:val="00116B69"/>
    <w:rsid w:val="00174229"/>
    <w:rsid w:val="00182682"/>
    <w:rsid w:val="00182817"/>
    <w:rsid w:val="0019391B"/>
    <w:rsid w:val="00193B09"/>
    <w:rsid w:val="00193EB8"/>
    <w:rsid w:val="001B19F5"/>
    <w:rsid w:val="001B34C7"/>
    <w:rsid w:val="001C69F3"/>
    <w:rsid w:val="001D28DC"/>
    <w:rsid w:val="001F4AED"/>
    <w:rsid w:val="002018F1"/>
    <w:rsid w:val="00207CA1"/>
    <w:rsid w:val="00214786"/>
    <w:rsid w:val="00224E1A"/>
    <w:rsid w:val="0022674F"/>
    <w:rsid w:val="00227E9F"/>
    <w:rsid w:val="00233181"/>
    <w:rsid w:val="00240C93"/>
    <w:rsid w:val="002708ED"/>
    <w:rsid w:val="0028072F"/>
    <w:rsid w:val="0029556F"/>
    <w:rsid w:val="002960F0"/>
    <w:rsid w:val="002A0A78"/>
    <w:rsid w:val="002A4711"/>
    <w:rsid w:val="002B52D9"/>
    <w:rsid w:val="002B6F69"/>
    <w:rsid w:val="002B73B5"/>
    <w:rsid w:val="002C3CF8"/>
    <w:rsid w:val="002D7143"/>
    <w:rsid w:val="002E2504"/>
    <w:rsid w:val="002E459F"/>
    <w:rsid w:val="00310E7F"/>
    <w:rsid w:val="003207D7"/>
    <w:rsid w:val="00332E57"/>
    <w:rsid w:val="00335402"/>
    <w:rsid w:val="00344A1B"/>
    <w:rsid w:val="003450E8"/>
    <w:rsid w:val="003528F3"/>
    <w:rsid w:val="00352C2D"/>
    <w:rsid w:val="003639BB"/>
    <w:rsid w:val="003640C2"/>
    <w:rsid w:val="00364CEA"/>
    <w:rsid w:val="00366E24"/>
    <w:rsid w:val="0037216D"/>
    <w:rsid w:val="00374CE9"/>
    <w:rsid w:val="003802EA"/>
    <w:rsid w:val="00380962"/>
    <w:rsid w:val="003B623F"/>
    <w:rsid w:val="003C3094"/>
    <w:rsid w:val="003D6D2E"/>
    <w:rsid w:val="003E7DF7"/>
    <w:rsid w:val="003F1BB1"/>
    <w:rsid w:val="00400D0F"/>
    <w:rsid w:val="00411D2E"/>
    <w:rsid w:val="00411ECA"/>
    <w:rsid w:val="00425BF9"/>
    <w:rsid w:val="00426621"/>
    <w:rsid w:val="00430A5C"/>
    <w:rsid w:val="0043260B"/>
    <w:rsid w:val="0047332F"/>
    <w:rsid w:val="00475CAF"/>
    <w:rsid w:val="00477776"/>
    <w:rsid w:val="00481979"/>
    <w:rsid w:val="004902BF"/>
    <w:rsid w:val="00495214"/>
    <w:rsid w:val="004C00D1"/>
    <w:rsid w:val="004C1946"/>
    <w:rsid w:val="004D79DB"/>
    <w:rsid w:val="004E017B"/>
    <w:rsid w:val="004E553F"/>
    <w:rsid w:val="00502944"/>
    <w:rsid w:val="00507A3E"/>
    <w:rsid w:val="0051456A"/>
    <w:rsid w:val="00516715"/>
    <w:rsid w:val="005242DD"/>
    <w:rsid w:val="00543218"/>
    <w:rsid w:val="00545B7B"/>
    <w:rsid w:val="005525D1"/>
    <w:rsid w:val="00563D53"/>
    <w:rsid w:val="00565422"/>
    <w:rsid w:val="00567FC6"/>
    <w:rsid w:val="00592698"/>
    <w:rsid w:val="005C2AE3"/>
    <w:rsid w:val="005C4759"/>
    <w:rsid w:val="005D7431"/>
    <w:rsid w:val="005F018C"/>
    <w:rsid w:val="005F1986"/>
    <w:rsid w:val="006158D1"/>
    <w:rsid w:val="00616CC5"/>
    <w:rsid w:val="00631248"/>
    <w:rsid w:val="006361D7"/>
    <w:rsid w:val="00645B28"/>
    <w:rsid w:val="00657D80"/>
    <w:rsid w:val="00677AF3"/>
    <w:rsid w:val="006810C4"/>
    <w:rsid w:val="00690A17"/>
    <w:rsid w:val="00691333"/>
    <w:rsid w:val="006974BE"/>
    <w:rsid w:val="006A726B"/>
    <w:rsid w:val="006C1DF1"/>
    <w:rsid w:val="006D0542"/>
    <w:rsid w:val="006F210F"/>
    <w:rsid w:val="007001DB"/>
    <w:rsid w:val="007068FD"/>
    <w:rsid w:val="007235CB"/>
    <w:rsid w:val="0072381C"/>
    <w:rsid w:val="00726D1C"/>
    <w:rsid w:val="00732CEE"/>
    <w:rsid w:val="00747D13"/>
    <w:rsid w:val="00762AA4"/>
    <w:rsid w:val="00773BE9"/>
    <w:rsid w:val="00775035"/>
    <w:rsid w:val="00786C50"/>
    <w:rsid w:val="00792FFD"/>
    <w:rsid w:val="00793CD6"/>
    <w:rsid w:val="007B02C1"/>
    <w:rsid w:val="007B4964"/>
    <w:rsid w:val="007C085D"/>
    <w:rsid w:val="007D6515"/>
    <w:rsid w:val="007D785C"/>
    <w:rsid w:val="007F322D"/>
    <w:rsid w:val="00805F8F"/>
    <w:rsid w:val="0083133E"/>
    <w:rsid w:val="00831CD4"/>
    <w:rsid w:val="00832D80"/>
    <w:rsid w:val="00856AC9"/>
    <w:rsid w:val="0086269A"/>
    <w:rsid w:val="00865C90"/>
    <w:rsid w:val="00867737"/>
    <w:rsid w:val="00897ABA"/>
    <w:rsid w:val="008B65B1"/>
    <w:rsid w:val="008C077B"/>
    <w:rsid w:val="008C74AD"/>
    <w:rsid w:val="009119BE"/>
    <w:rsid w:val="00947511"/>
    <w:rsid w:val="00952B02"/>
    <w:rsid w:val="00954AEB"/>
    <w:rsid w:val="009742E6"/>
    <w:rsid w:val="00980717"/>
    <w:rsid w:val="00983C4F"/>
    <w:rsid w:val="009A4AFF"/>
    <w:rsid w:val="009A660E"/>
    <w:rsid w:val="009A7F98"/>
    <w:rsid w:val="009B13D9"/>
    <w:rsid w:val="009D500B"/>
    <w:rsid w:val="009D5F03"/>
    <w:rsid w:val="009D72C0"/>
    <w:rsid w:val="009E1CEC"/>
    <w:rsid w:val="009F047F"/>
    <w:rsid w:val="009F749E"/>
    <w:rsid w:val="00A00F93"/>
    <w:rsid w:val="00A055ED"/>
    <w:rsid w:val="00A12635"/>
    <w:rsid w:val="00A166BA"/>
    <w:rsid w:val="00A225D4"/>
    <w:rsid w:val="00A23F44"/>
    <w:rsid w:val="00A321B4"/>
    <w:rsid w:val="00A45519"/>
    <w:rsid w:val="00A65B61"/>
    <w:rsid w:val="00A801D5"/>
    <w:rsid w:val="00A87B30"/>
    <w:rsid w:val="00A93372"/>
    <w:rsid w:val="00A9556C"/>
    <w:rsid w:val="00AA7547"/>
    <w:rsid w:val="00AB5218"/>
    <w:rsid w:val="00AC2336"/>
    <w:rsid w:val="00AC6A7C"/>
    <w:rsid w:val="00AD0DA0"/>
    <w:rsid w:val="00AE6FB1"/>
    <w:rsid w:val="00AF2872"/>
    <w:rsid w:val="00B106DD"/>
    <w:rsid w:val="00B45C3E"/>
    <w:rsid w:val="00B71F50"/>
    <w:rsid w:val="00B73895"/>
    <w:rsid w:val="00B76463"/>
    <w:rsid w:val="00B86910"/>
    <w:rsid w:val="00B86FC7"/>
    <w:rsid w:val="00B97E6D"/>
    <w:rsid w:val="00BA28FB"/>
    <w:rsid w:val="00BA332A"/>
    <w:rsid w:val="00BA60BA"/>
    <w:rsid w:val="00BB79E1"/>
    <w:rsid w:val="00BB7B9C"/>
    <w:rsid w:val="00BD3A06"/>
    <w:rsid w:val="00BD5AB0"/>
    <w:rsid w:val="00BE2F88"/>
    <w:rsid w:val="00BE5869"/>
    <w:rsid w:val="00C04B1F"/>
    <w:rsid w:val="00C07B3B"/>
    <w:rsid w:val="00C15451"/>
    <w:rsid w:val="00C34C12"/>
    <w:rsid w:val="00C35BD2"/>
    <w:rsid w:val="00C46FEC"/>
    <w:rsid w:val="00C51B8D"/>
    <w:rsid w:val="00C83C1E"/>
    <w:rsid w:val="00C9473F"/>
    <w:rsid w:val="00C954DD"/>
    <w:rsid w:val="00CB1DA2"/>
    <w:rsid w:val="00CD4C79"/>
    <w:rsid w:val="00CE20EC"/>
    <w:rsid w:val="00CE3BAA"/>
    <w:rsid w:val="00CE4BF5"/>
    <w:rsid w:val="00D00716"/>
    <w:rsid w:val="00D028A6"/>
    <w:rsid w:val="00D434C6"/>
    <w:rsid w:val="00D46EC1"/>
    <w:rsid w:val="00D479C0"/>
    <w:rsid w:val="00D70202"/>
    <w:rsid w:val="00D7579E"/>
    <w:rsid w:val="00DA3370"/>
    <w:rsid w:val="00DA58DD"/>
    <w:rsid w:val="00DB12AB"/>
    <w:rsid w:val="00DB2596"/>
    <w:rsid w:val="00DC3A13"/>
    <w:rsid w:val="00DC4D4D"/>
    <w:rsid w:val="00DF4497"/>
    <w:rsid w:val="00DF5666"/>
    <w:rsid w:val="00E04371"/>
    <w:rsid w:val="00E1281B"/>
    <w:rsid w:val="00E327CB"/>
    <w:rsid w:val="00E72E15"/>
    <w:rsid w:val="00E86E48"/>
    <w:rsid w:val="00E95620"/>
    <w:rsid w:val="00EC0383"/>
    <w:rsid w:val="00EC09DC"/>
    <w:rsid w:val="00EE2CC8"/>
    <w:rsid w:val="00EF30CC"/>
    <w:rsid w:val="00EF41D4"/>
    <w:rsid w:val="00F13E7C"/>
    <w:rsid w:val="00F1651D"/>
    <w:rsid w:val="00F66B61"/>
    <w:rsid w:val="00F80698"/>
    <w:rsid w:val="00F81269"/>
    <w:rsid w:val="00F93AFC"/>
    <w:rsid w:val="00FB458A"/>
    <w:rsid w:val="00FB5F80"/>
    <w:rsid w:val="00FE08E2"/>
    <w:rsid w:val="00FE1CCC"/>
    <w:rsid w:val="243A2FED"/>
    <w:rsid w:val="45E054F9"/>
    <w:rsid w:val="6D510616"/>
    <w:rsid w:val="79951709"/>
    <w:rsid w:val="7E1335C0"/>
    <w:rsid w:val="7EF24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99"/>
    <w:pPr>
      <w:jc w:val="left"/>
    </w:pPr>
  </w:style>
  <w:style w:type="paragraph" w:styleId="3">
    <w:name w:val="Balloon Text"/>
    <w:basedOn w:val="1"/>
    <w:link w:val="17"/>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6"/>
    <w:autoRedefine/>
    <w:semiHidden/>
    <w:unhideWhenUsed/>
    <w:qFormat/>
    <w:uiPriority w:val="99"/>
    <w:rPr>
      <w:b/>
      <w:bCs/>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semiHidden/>
    <w:unhideWhenUsed/>
    <w:qFormat/>
    <w:uiPriority w:val="99"/>
    <w:rPr>
      <w:sz w:val="21"/>
      <w:szCs w:val="21"/>
    </w:rPr>
  </w:style>
  <w:style w:type="paragraph" w:styleId="12">
    <w:name w:val="List Paragraph"/>
    <w:basedOn w:val="1"/>
    <w:autoRedefine/>
    <w:qFormat/>
    <w:uiPriority w:val="34"/>
    <w:pPr>
      <w:ind w:firstLine="420" w:firstLineChars="200"/>
    </w:pPr>
  </w:style>
  <w:style w:type="character" w:customStyle="1" w:styleId="13">
    <w:name w:val="页眉 字符"/>
    <w:basedOn w:val="10"/>
    <w:link w:val="5"/>
    <w:autoRedefine/>
    <w:qFormat/>
    <w:uiPriority w:val="99"/>
    <w:rPr>
      <w:rFonts w:ascii="Times New Roman" w:hAnsi="Times New Roman" w:eastAsia="宋体" w:cs="Times New Roman"/>
      <w:sz w:val="18"/>
      <w:szCs w:val="18"/>
    </w:rPr>
  </w:style>
  <w:style w:type="character" w:customStyle="1" w:styleId="14">
    <w:name w:val="页脚 字符"/>
    <w:basedOn w:val="10"/>
    <w:link w:val="4"/>
    <w:autoRedefine/>
    <w:qFormat/>
    <w:uiPriority w:val="99"/>
    <w:rPr>
      <w:rFonts w:ascii="Times New Roman" w:hAnsi="Times New Roman" w:eastAsia="宋体" w:cs="Times New Roman"/>
      <w:sz w:val="18"/>
      <w:szCs w:val="18"/>
    </w:rPr>
  </w:style>
  <w:style w:type="character" w:customStyle="1" w:styleId="15">
    <w:name w:val="批注文字 字符"/>
    <w:basedOn w:val="10"/>
    <w:link w:val="2"/>
    <w:autoRedefine/>
    <w:semiHidden/>
    <w:qFormat/>
    <w:uiPriority w:val="99"/>
    <w:rPr>
      <w:rFonts w:ascii="Times New Roman" w:hAnsi="Times New Roman" w:eastAsia="宋体" w:cs="Times New Roman"/>
      <w:szCs w:val="24"/>
    </w:rPr>
  </w:style>
  <w:style w:type="character" w:customStyle="1" w:styleId="16">
    <w:name w:val="批注主题 字符"/>
    <w:basedOn w:val="15"/>
    <w:link w:val="7"/>
    <w:autoRedefine/>
    <w:semiHidden/>
    <w:qFormat/>
    <w:uiPriority w:val="99"/>
    <w:rPr>
      <w:rFonts w:ascii="Times New Roman" w:hAnsi="Times New Roman" w:eastAsia="宋体" w:cs="Times New Roman"/>
      <w:b/>
      <w:bCs/>
      <w:szCs w:val="24"/>
    </w:rPr>
  </w:style>
  <w:style w:type="character" w:customStyle="1" w:styleId="17">
    <w:name w:val="批注框文本 字符"/>
    <w:basedOn w:val="10"/>
    <w:link w:val="3"/>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286</Words>
  <Characters>1632</Characters>
  <Lines>13</Lines>
  <Paragraphs>3</Paragraphs>
  <TotalTime>32</TotalTime>
  <ScaleCrop>false</ScaleCrop>
  <LinksUpToDate>false</LinksUpToDate>
  <CharactersWithSpaces>1915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2020-05-08T04:27:00Z</dcterms:created>
  <dc:creator>haul neo</dc:creator>
  <cp:lastModifiedBy>flora</cp:lastModifiedBy>
  <cp:lastPrinted>2020-05-08T06:40:00Z</cp:lastPrinted>
  <dcterms:modified xsi:type="dcterms:W3CDTF">2024-03-20T08:23:06Z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96D716C6276A4DDC8AF76B86B3C716C5</vt:lpwstr>
  </property>
</Properties>
</file>